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Haninge kommunfullmäktige</w:t>
      </w:r>
    </w:p>
    <w:p>
      <w:pPr>
        <w:pStyle w:val="Heading1"/>
      </w:pPr>
      <w:r>
        <w:t xml:space="preserve">Effektivare användning av skattepengarna i Haninge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Haninge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budget 2025 är 7,8 mdkr. Moderaterna ser potential till effektiviseringar inom administration och lokalanvändning.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Haninge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kommunens administrativa kostnader med mål om 3 % besparing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nolltillväxt i antalet heltidstjänster inom förvaltningen.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redovisa nyckeltal för kostnad per invånare jämfört med liknande kommuner.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återinvestera besparingar i kärnverksamhet.</w:t>
      </w:r>
    </w:p>
    <w:p>
      <w:pPr>
        <w:spacing w:before="360"/>
      </w:pPr>
    </w:p>
    <w:p>
      <w:r>
        <w:t xml:space="preserve">Haninge,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Haninge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2026-06-06T01:48:23.111Z</dcterms:created>
  <dcterms:modified xsi:type="dcterms:W3CDTF">2026-06-06T01:48:23.111Z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